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51CF" w:rsidRPr="00B54008" w:rsidRDefault="002451CF" w:rsidP="002451CF">
      <w:pPr>
        <w:spacing w:after="0" w:line="360" w:lineRule="auto"/>
        <w:ind w:right="-285"/>
        <w:jc w:val="center"/>
        <w:rPr>
          <w:rFonts w:ascii="Arial" w:hAnsi="Arial" w:cs="Arial"/>
          <w:b/>
          <w:sz w:val="24"/>
          <w:szCs w:val="28"/>
        </w:rPr>
      </w:pPr>
      <w:r w:rsidRPr="00B54008">
        <w:rPr>
          <w:rFonts w:ascii="Arial" w:hAnsi="Arial" w:cs="Arial"/>
          <w:b/>
          <w:sz w:val="24"/>
          <w:szCs w:val="28"/>
        </w:rPr>
        <w:t>AO EXCELENTÍSSIMO SENHOR CONSELHEIRO</w:t>
      </w:r>
    </w:p>
    <w:p w:rsidR="002451CF" w:rsidRPr="00B54008" w:rsidRDefault="002451CF" w:rsidP="002451CF">
      <w:pPr>
        <w:spacing w:after="0" w:line="360" w:lineRule="auto"/>
        <w:ind w:right="-285"/>
        <w:jc w:val="center"/>
        <w:rPr>
          <w:rFonts w:ascii="Arial" w:hAnsi="Arial" w:cs="Arial"/>
          <w:b/>
          <w:sz w:val="24"/>
          <w:szCs w:val="28"/>
        </w:rPr>
      </w:pPr>
      <w:r w:rsidRPr="00B54008">
        <w:rPr>
          <w:rFonts w:ascii="Arial" w:hAnsi="Arial" w:cs="Arial"/>
          <w:b/>
          <w:sz w:val="24"/>
          <w:szCs w:val="28"/>
        </w:rPr>
        <w:t>INTEGRANTE DO CONSELHO NACIONAL DE JUSTIÇA</w:t>
      </w:r>
    </w:p>
    <w:p w:rsidR="002451CF" w:rsidRPr="003E1C65" w:rsidRDefault="002451CF" w:rsidP="002451CF">
      <w:pPr>
        <w:spacing w:after="0" w:line="360" w:lineRule="auto"/>
        <w:ind w:left="3540" w:right="-285"/>
        <w:jc w:val="both"/>
        <w:rPr>
          <w:rFonts w:ascii="Arial" w:hAnsi="Arial" w:cs="Arial"/>
          <w:szCs w:val="24"/>
        </w:rPr>
      </w:pPr>
      <w:r w:rsidRPr="003E1C65">
        <w:rPr>
          <w:rFonts w:ascii="Arial" w:hAnsi="Arial" w:cs="Arial"/>
          <w:szCs w:val="24"/>
        </w:rPr>
        <w:t> </w:t>
      </w:r>
    </w:p>
    <w:p w:rsidR="002451CF" w:rsidRDefault="002451CF" w:rsidP="002451CF">
      <w:pPr>
        <w:spacing w:after="0" w:line="360" w:lineRule="auto"/>
        <w:ind w:right="-285"/>
        <w:jc w:val="both"/>
        <w:rPr>
          <w:rFonts w:ascii="Arial" w:hAnsi="Arial" w:cs="Arial"/>
          <w:szCs w:val="24"/>
        </w:rPr>
      </w:pPr>
    </w:p>
    <w:p w:rsidR="002451CF" w:rsidRPr="003E1C65" w:rsidRDefault="002451CF" w:rsidP="002451CF">
      <w:pPr>
        <w:spacing w:after="0" w:line="360" w:lineRule="auto"/>
        <w:ind w:right="-285"/>
        <w:jc w:val="both"/>
        <w:rPr>
          <w:rFonts w:ascii="Arial" w:hAnsi="Arial" w:cs="Arial"/>
          <w:szCs w:val="24"/>
        </w:rPr>
      </w:pPr>
    </w:p>
    <w:p w:rsidR="002451CF" w:rsidRDefault="002451CF" w:rsidP="002451CF">
      <w:pPr>
        <w:spacing w:after="0" w:line="360" w:lineRule="auto"/>
        <w:ind w:right="-285"/>
        <w:jc w:val="both"/>
        <w:rPr>
          <w:rFonts w:ascii="Arial" w:hAnsi="Arial" w:cs="Arial"/>
          <w:szCs w:val="24"/>
        </w:rPr>
      </w:pPr>
    </w:p>
    <w:p w:rsidR="002451CF" w:rsidRPr="00FE7BB4" w:rsidRDefault="002451CF" w:rsidP="002451CF">
      <w:pPr>
        <w:spacing w:after="0" w:line="360" w:lineRule="auto"/>
        <w:ind w:right="-285"/>
        <w:jc w:val="both"/>
        <w:rPr>
          <w:rFonts w:ascii="Arial" w:hAnsi="Arial" w:cs="Arial"/>
          <w:sz w:val="38"/>
          <w:szCs w:val="24"/>
        </w:rPr>
      </w:pPr>
    </w:p>
    <w:p w:rsidR="002451CF" w:rsidRPr="003E1C65" w:rsidRDefault="002451CF" w:rsidP="002451CF">
      <w:pPr>
        <w:spacing w:after="0" w:line="360" w:lineRule="auto"/>
        <w:ind w:right="-285"/>
        <w:jc w:val="both"/>
        <w:rPr>
          <w:rFonts w:ascii="Arial" w:hAnsi="Arial" w:cs="Arial"/>
          <w:szCs w:val="24"/>
        </w:rPr>
      </w:pPr>
    </w:p>
    <w:p w:rsidR="00ED7D7B" w:rsidRDefault="00ED7D7B" w:rsidP="002451CF">
      <w:pPr>
        <w:spacing w:after="0" w:line="360" w:lineRule="auto"/>
        <w:ind w:right="-285"/>
        <w:jc w:val="right"/>
        <w:rPr>
          <w:rFonts w:ascii="Arial" w:hAnsi="Arial" w:cs="Arial"/>
          <w:sz w:val="20"/>
          <w:szCs w:val="24"/>
        </w:rPr>
      </w:pPr>
    </w:p>
    <w:p w:rsidR="002451CF" w:rsidRPr="00FE7BB4" w:rsidRDefault="002451CF" w:rsidP="002451CF">
      <w:pPr>
        <w:spacing w:after="0" w:line="360" w:lineRule="auto"/>
        <w:ind w:right="-285"/>
        <w:jc w:val="righ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Referente ao processo nº </w:t>
      </w:r>
      <w:r w:rsidRPr="00FE7BB4">
        <w:rPr>
          <w:rFonts w:ascii="Arial" w:hAnsi="Arial" w:cs="Arial"/>
          <w:sz w:val="20"/>
          <w:szCs w:val="24"/>
        </w:rPr>
        <w:t>0001118-11.2018.2.00.0000</w:t>
      </w:r>
    </w:p>
    <w:p w:rsidR="002451CF" w:rsidRPr="00B54008" w:rsidRDefault="002451CF" w:rsidP="002451CF">
      <w:pPr>
        <w:spacing w:before="100" w:beforeAutospacing="1" w:after="100" w:afterAutospacing="1" w:line="360" w:lineRule="auto"/>
        <w:ind w:right="-285"/>
        <w:jc w:val="both"/>
        <w:rPr>
          <w:rFonts w:ascii="Arial" w:hAnsi="Arial" w:cs="Arial"/>
          <w:sz w:val="24"/>
          <w:szCs w:val="24"/>
        </w:rPr>
      </w:pPr>
      <w:r w:rsidRPr="00B54008">
        <w:rPr>
          <w:rFonts w:ascii="Arial" w:hAnsi="Arial" w:cs="Arial"/>
          <w:b/>
          <w:bCs/>
          <w:sz w:val="24"/>
          <w:szCs w:val="24"/>
        </w:rPr>
        <w:tab/>
        <w:t xml:space="preserve">AMPB – ASSOCIAÇÃO DOS MAGISTRADOS DA </w:t>
      </w:r>
      <w:proofErr w:type="spellStart"/>
      <w:proofErr w:type="gramStart"/>
      <w:r w:rsidRPr="00B54008">
        <w:rPr>
          <w:rFonts w:ascii="Arial" w:hAnsi="Arial" w:cs="Arial"/>
          <w:b/>
          <w:bCs/>
          <w:sz w:val="24"/>
          <w:szCs w:val="24"/>
        </w:rPr>
        <w:t>PARAÍBA</w:t>
      </w:r>
      <w:r w:rsidRPr="007200BF">
        <w:rPr>
          <w:rFonts w:ascii="Arial" w:eastAsia="Batang" w:hAnsi="Arial" w:cs="Arial"/>
          <w:sz w:val="24"/>
          <w:szCs w:val="24"/>
        </w:rPr>
        <w:t>,</w:t>
      </w:r>
      <w:r>
        <w:rPr>
          <w:rFonts w:ascii="Arial" w:eastAsia="Batang" w:hAnsi="Arial" w:cs="Arial"/>
          <w:sz w:val="24"/>
          <w:szCs w:val="24"/>
        </w:rPr>
        <w:t>devidamente</w:t>
      </w:r>
      <w:proofErr w:type="spellEnd"/>
      <w:proofErr w:type="gramEnd"/>
      <w:r>
        <w:rPr>
          <w:rFonts w:ascii="Arial" w:eastAsia="Batang" w:hAnsi="Arial" w:cs="Arial"/>
          <w:sz w:val="24"/>
          <w:szCs w:val="24"/>
        </w:rPr>
        <w:t xml:space="preserve"> qualificada, nos autos do </w:t>
      </w:r>
      <w:r w:rsidRPr="007200BF">
        <w:rPr>
          <w:rFonts w:ascii="Arial" w:hAnsi="Arial" w:cs="Arial"/>
          <w:b/>
          <w:i/>
          <w:sz w:val="24"/>
          <w:szCs w:val="24"/>
        </w:rPr>
        <w:t xml:space="preserve">Pedido </w:t>
      </w:r>
      <w:r>
        <w:rPr>
          <w:rFonts w:ascii="Arial" w:hAnsi="Arial" w:cs="Arial"/>
          <w:b/>
          <w:i/>
          <w:sz w:val="24"/>
          <w:szCs w:val="24"/>
        </w:rPr>
        <w:t>d</w:t>
      </w:r>
      <w:r w:rsidRPr="007200BF">
        <w:rPr>
          <w:rFonts w:ascii="Arial" w:hAnsi="Arial" w:cs="Arial"/>
          <w:b/>
          <w:i/>
          <w:sz w:val="24"/>
          <w:szCs w:val="24"/>
        </w:rPr>
        <w:t>e Providências</w:t>
      </w:r>
      <w:r>
        <w:rPr>
          <w:rFonts w:ascii="Arial" w:hAnsi="Arial" w:cs="Arial"/>
          <w:sz w:val="24"/>
          <w:szCs w:val="24"/>
        </w:rPr>
        <w:t xml:space="preserve"> formulado em </w:t>
      </w:r>
      <w:r w:rsidRPr="00B54008">
        <w:rPr>
          <w:rFonts w:ascii="Arial" w:hAnsi="Arial" w:cs="Arial"/>
          <w:sz w:val="24"/>
          <w:szCs w:val="24"/>
        </w:rPr>
        <w:t>razão dos atos praticados pelo</w:t>
      </w:r>
      <w:r w:rsidRPr="00B54008">
        <w:rPr>
          <w:rFonts w:ascii="Arial" w:hAnsi="Arial" w:cs="Arial"/>
          <w:b/>
          <w:sz w:val="24"/>
          <w:szCs w:val="24"/>
        </w:rPr>
        <w:t xml:space="preserve"> TRIBUNAL DE JUSTIÇA DO ESTADO DA PARAÍBA</w:t>
      </w:r>
      <w:r w:rsidRPr="007200BF">
        <w:rPr>
          <w:rFonts w:ascii="Arial" w:hAnsi="Arial" w:cs="Arial"/>
          <w:sz w:val="24"/>
          <w:szCs w:val="24"/>
        </w:rPr>
        <w:t xml:space="preserve">, vem </w:t>
      </w:r>
      <w:r>
        <w:rPr>
          <w:rFonts w:ascii="Arial" w:hAnsi="Arial" w:cs="Arial"/>
          <w:sz w:val="24"/>
          <w:szCs w:val="24"/>
        </w:rPr>
        <w:t>à</w:t>
      </w:r>
      <w:r w:rsidRPr="007200BF">
        <w:rPr>
          <w:rFonts w:ascii="Arial" w:hAnsi="Arial" w:cs="Arial"/>
          <w:sz w:val="24"/>
          <w:szCs w:val="24"/>
        </w:rPr>
        <w:t xml:space="preserve"> presença</w:t>
      </w:r>
      <w:r>
        <w:rPr>
          <w:rFonts w:ascii="Arial" w:hAnsi="Arial" w:cs="Arial"/>
          <w:sz w:val="24"/>
          <w:szCs w:val="24"/>
        </w:rPr>
        <w:t xml:space="preserve"> de Vossa Excelência, por intermédio dos seus advogados, expor e requerer o </w:t>
      </w:r>
      <w:r w:rsidR="007C4C0C">
        <w:rPr>
          <w:rFonts w:ascii="Arial" w:hAnsi="Arial" w:cs="Arial"/>
          <w:sz w:val="24"/>
          <w:szCs w:val="24"/>
        </w:rPr>
        <w:t xml:space="preserve">que se </w:t>
      </w:r>
      <w:r>
        <w:rPr>
          <w:rFonts w:ascii="Arial" w:hAnsi="Arial" w:cs="Arial"/>
          <w:sz w:val="24"/>
          <w:szCs w:val="24"/>
        </w:rPr>
        <w:t>segue</w:t>
      </w:r>
      <w:r w:rsidRPr="00B54008">
        <w:rPr>
          <w:rFonts w:ascii="Arial" w:hAnsi="Arial" w:cs="Arial"/>
          <w:sz w:val="24"/>
          <w:szCs w:val="24"/>
        </w:rPr>
        <w:t>:</w:t>
      </w:r>
    </w:p>
    <w:p w:rsidR="002451CF" w:rsidRPr="00B54008" w:rsidRDefault="002451CF" w:rsidP="002451CF">
      <w:pPr>
        <w:pBdr>
          <w:bottom w:val="single" w:sz="4" w:space="1" w:color="auto"/>
        </w:pBdr>
        <w:spacing w:before="100" w:beforeAutospacing="1" w:after="100" w:afterAutospacing="1" w:line="360" w:lineRule="auto"/>
        <w:ind w:right="-285"/>
        <w:jc w:val="both"/>
        <w:rPr>
          <w:rFonts w:ascii="Arial" w:hAnsi="Arial" w:cs="Arial"/>
          <w:b/>
          <w:sz w:val="24"/>
          <w:szCs w:val="24"/>
        </w:rPr>
      </w:pPr>
      <w:r w:rsidRPr="00B54008">
        <w:rPr>
          <w:rFonts w:ascii="Arial" w:hAnsi="Arial" w:cs="Arial"/>
          <w:b/>
          <w:sz w:val="24"/>
          <w:szCs w:val="24"/>
        </w:rPr>
        <w:t>FUNDAMENTAÇÃO</w:t>
      </w:r>
    </w:p>
    <w:p w:rsidR="002451CF" w:rsidRDefault="002451CF" w:rsidP="002451CF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Em pronunciamento último, esse r. órgão fixou o prazo de </w:t>
      </w:r>
      <w:r w:rsidRPr="00DB5BA9">
        <w:rPr>
          <w:rFonts w:ascii="Arial" w:hAnsi="Arial" w:cs="Arial"/>
          <w:b/>
          <w:sz w:val="24"/>
          <w:szCs w:val="24"/>
          <w:u w:val="single"/>
        </w:rPr>
        <w:t>quarenta dias</w:t>
      </w:r>
      <w:r>
        <w:rPr>
          <w:rFonts w:ascii="Arial" w:hAnsi="Arial" w:cs="Arial"/>
          <w:sz w:val="24"/>
          <w:szCs w:val="24"/>
        </w:rPr>
        <w:t xml:space="preserve"> para que o Tribunal de Justiça do Estado da Paraíba </w:t>
      </w:r>
      <w:r w:rsidRPr="00DB5BA9">
        <w:rPr>
          <w:rFonts w:ascii="Arial" w:hAnsi="Arial" w:cs="Arial"/>
          <w:b/>
          <w:sz w:val="24"/>
          <w:szCs w:val="24"/>
        </w:rPr>
        <w:t>promovesse o preenchimento das vagas de promoção/remoção de magistrados por merecimento</w:t>
      </w:r>
      <w:r>
        <w:rPr>
          <w:rFonts w:ascii="Arial" w:hAnsi="Arial" w:cs="Arial"/>
          <w:sz w:val="24"/>
          <w:szCs w:val="24"/>
        </w:rPr>
        <w:t xml:space="preserve"> (Editais 1/2017 e 77/2016). Confira-se o texto final da decisão</w:t>
      </w:r>
      <w:r w:rsidR="00DB5BA9">
        <w:rPr>
          <w:rFonts w:ascii="Arial" w:hAnsi="Arial" w:cs="Arial"/>
          <w:sz w:val="24"/>
          <w:szCs w:val="24"/>
        </w:rPr>
        <w:t xml:space="preserve"> proferida em análise de recurso</w:t>
      </w:r>
      <w:r>
        <w:rPr>
          <w:rFonts w:ascii="Arial" w:hAnsi="Arial" w:cs="Arial"/>
          <w:sz w:val="24"/>
          <w:szCs w:val="24"/>
        </w:rPr>
        <w:t xml:space="preserve">:    </w:t>
      </w:r>
    </w:p>
    <w:p w:rsidR="002451CF" w:rsidRDefault="002451CF" w:rsidP="002451CF">
      <w:pPr>
        <w:spacing w:before="100" w:beforeAutospacing="1" w:after="100" w:afterAutospacing="1" w:line="240" w:lineRule="auto"/>
        <w:ind w:left="2268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[...]</w:t>
      </w:r>
    </w:p>
    <w:p w:rsidR="002451CF" w:rsidRDefault="002451CF" w:rsidP="002451CF">
      <w:pPr>
        <w:spacing w:before="100" w:beforeAutospacing="1" w:after="100" w:afterAutospacing="1" w:line="240" w:lineRule="auto"/>
        <w:ind w:left="2268"/>
        <w:jc w:val="both"/>
        <w:rPr>
          <w:rFonts w:ascii="Arial" w:hAnsi="Arial" w:cs="Arial"/>
          <w:sz w:val="20"/>
          <w:szCs w:val="24"/>
        </w:rPr>
      </w:pPr>
      <w:r w:rsidRPr="002451CF">
        <w:rPr>
          <w:rFonts w:ascii="Arial" w:hAnsi="Arial" w:cs="Arial"/>
          <w:sz w:val="20"/>
          <w:szCs w:val="24"/>
        </w:rPr>
        <w:t xml:space="preserve">Ante o exposto: [...] b) determino, de ofício, que o e. Tribunal de Justiça do Estado da Paraíba </w:t>
      </w:r>
      <w:r w:rsidRPr="002451CF">
        <w:rPr>
          <w:rFonts w:ascii="Arial" w:hAnsi="Arial" w:cs="Arial"/>
          <w:b/>
          <w:sz w:val="20"/>
          <w:szCs w:val="24"/>
        </w:rPr>
        <w:t xml:space="preserve">promova o preenchimento das vagas de promoção/remoção de magistrados por merecimento (Editais 1/2017 e 77/2016), </w:t>
      </w:r>
      <w:r w:rsidRPr="002451CF">
        <w:rPr>
          <w:rFonts w:ascii="Arial" w:hAnsi="Arial" w:cs="Arial"/>
          <w:b/>
          <w:sz w:val="20"/>
          <w:szCs w:val="24"/>
          <w:u w:val="single"/>
        </w:rPr>
        <w:t>no prazo de 40 (quarenta) dias</w:t>
      </w:r>
      <w:r w:rsidRPr="002451CF">
        <w:rPr>
          <w:rFonts w:ascii="Arial" w:hAnsi="Arial" w:cs="Arial"/>
          <w:sz w:val="20"/>
          <w:szCs w:val="24"/>
        </w:rPr>
        <w:t>.</w:t>
      </w:r>
    </w:p>
    <w:p w:rsidR="002451CF" w:rsidRDefault="002451CF" w:rsidP="002451CF">
      <w:pPr>
        <w:spacing w:before="100" w:beforeAutospacing="1" w:after="100" w:afterAutospacing="1" w:line="240" w:lineRule="auto"/>
        <w:ind w:left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4"/>
        </w:rPr>
        <w:t>[...]</w:t>
      </w:r>
    </w:p>
    <w:p w:rsidR="00ED7D7B" w:rsidRDefault="002451CF" w:rsidP="002451CF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prazo de quarenta dias find</w:t>
      </w:r>
      <w:r w:rsidR="002742CC"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>-se em 17 jul. 2018</w:t>
      </w:r>
      <w:r w:rsidR="00DB5BA9">
        <w:rPr>
          <w:rFonts w:ascii="Arial" w:hAnsi="Arial" w:cs="Arial"/>
          <w:sz w:val="24"/>
          <w:szCs w:val="24"/>
        </w:rPr>
        <w:t>, conforme demonstra movimentação processual fornecida pelo próprio Tribunal de Justiça do Estado da Paraíba, que registra a data da ciência do pronunciamento exarado por esse órgão como sendo 07 jun. 2018</w:t>
      </w:r>
      <w:r>
        <w:rPr>
          <w:rFonts w:ascii="Arial" w:hAnsi="Arial" w:cs="Arial"/>
          <w:sz w:val="24"/>
          <w:szCs w:val="24"/>
        </w:rPr>
        <w:t xml:space="preserve"> (doc. anexo). </w:t>
      </w:r>
    </w:p>
    <w:p w:rsidR="00ED7D7B" w:rsidRDefault="00ED7D7B" w:rsidP="009431F8">
      <w:pPr>
        <w:spacing w:before="100" w:beforeAutospacing="1" w:after="100" w:afterAutospacing="1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652700" cy="3521123"/>
            <wp:effectExtent l="0" t="0" r="571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90" cy="352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CF" w:rsidRDefault="002451CF" w:rsidP="00ED7D7B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Apesar d</w:t>
      </w:r>
      <w:r w:rsidR="00DB5BA9">
        <w:rPr>
          <w:rFonts w:ascii="Arial" w:hAnsi="Arial" w:cs="Arial"/>
          <w:sz w:val="24"/>
          <w:szCs w:val="24"/>
        </w:rPr>
        <w:t>e findo o prazo estabelecido pelo Conselho Nacional de Justiça</w:t>
      </w:r>
      <w:r>
        <w:rPr>
          <w:rFonts w:ascii="Arial" w:hAnsi="Arial" w:cs="Arial"/>
          <w:sz w:val="24"/>
          <w:szCs w:val="24"/>
        </w:rPr>
        <w:t>, até agora, não fo</w:t>
      </w:r>
      <w:r w:rsidR="00293B4C">
        <w:rPr>
          <w:rFonts w:ascii="Arial" w:hAnsi="Arial" w:cs="Arial"/>
          <w:sz w:val="24"/>
          <w:szCs w:val="24"/>
        </w:rPr>
        <w:t>ram</w:t>
      </w:r>
      <w:r>
        <w:rPr>
          <w:rFonts w:ascii="Arial" w:hAnsi="Arial" w:cs="Arial"/>
          <w:sz w:val="24"/>
          <w:szCs w:val="24"/>
        </w:rPr>
        <w:t xml:space="preserve"> concluídos os procedimentos relacionados aos editais identificados</w:t>
      </w:r>
      <w:r w:rsidR="00293B4C">
        <w:rPr>
          <w:rFonts w:ascii="Arial" w:hAnsi="Arial" w:cs="Arial"/>
          <w:sz w:val="24"/>
          <w:szCs w:val="24"/>
        </w:rPr>
        <w:t xml:space="preserve">. Aliás, a última movimentação mostra que o relator dos procedimentos requereu as cópias das notas taquigráficas da última sessão plenária. </w:t>
      </w:r>
    </w:p>
    <w:p w:rsidR="00C34B46" w:rsidRDefault="00C34B46" w:rsidP="00ED7D7B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despacho de fl., </w:t>
      </w:r>
      <w:r w:rsidR="001E0C6C">
        <w:rPr>
          <w:rFonts w:ascii="Arial" w:hAnsi="Arial" w:cs="Arial"/>
          <w:sz w:val="24"/>
          <w:szCs w:val="24"/>
        </w:rPr>
        <w:t>o relator</w:t>
      </w:r>
      <w:r w:rsidR="00CD4FE1">
        <w:rPr>
          <w:rFonts w:ascii="Arial" w:hAnsi="Arial" w:cs="Arial"/>
          <w:sz w:val="24"/>
          <w:szCs w:val="24"/>
        </w:rPr>
        <w:t xml:space="preserve"> perante o </w:t>
      </w:r>
      <w:proofErr w:type="spellStart"/>
      <w:r w:rsidR="00CD4FE1">
        <w:rPr>
          <w:rFonts w:ascii="Arial" w:hAnsi="Arial" w:cs="Arial"/>
          <w:sz w:val="24"/>
          <w:szCs w:val="24"/>
        </w:rPr>
        <w:t>TJPB</w:t>
      </w:r>
      <w:r>
        <w:rPr>
          <w:rFonts w:ascii="Arial" w:hAnsi="Arial" w:cs="Arial"/>
          <w:sz w:val="24"/>
          <w:szCs w:val="24"/>
        </w:rPr>
        <w:t>assim</w:t>
      </w:r>
      <w:proofErr w:type="spellEnd"/>
      <w:r>
        <w:rPr>
          <w:rFonts w:ascii="Arial" w:hAnsi="Arial" w:cs="Arial"/>
          <w:sz w:val="24"/>
          <w:szCs w:val="24"/>
        </w:rPr>
        <w:t xml:space="preserve"> se pronunciou: “Em vista de melhor retratar o que foi decidido na última sessão administrativa do E. Tribunal Pleno, com urgência necessária, </w:t>
      </w:r>
      <w:r w:rsidRPr="00CD4FE1">
        <w:rPr>
          <w:rFonts w:ascii="Arial" w:hAnsi="Arial" w:cs="Arial"/>
          <w:b/>
          <w:sz w:val="24"/>
          <w:szCs w:val="24"/>
        </w:rPr>
        <w:t>proceda-se com a juntada das notas taquigráficas relativas à respectiva sessão</w:t>
      </w:r>
      <w:r>
        <w:rPr>
          <w:rFonts w:ascii="Arial" w:hAnsi="Arial" w:cs="Arial"/>
          <w:sz w:val="24"/>
          <w:szCs w:val="24"/>
        </w:rPr>
        <w:t xml:space="preserve">”.  </w:t>
      </w:r>
    </w:p>
    <w:p w:rsidR="005639FC" w:rsidRDefault="00293B4C" w:rsidP="002451CF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126FA">
        <w:rPr>
          <w:rFonts w:ascii="Arial" w:hAnsi="Arial" w:cs="Arial"/>
          <w:sz w:val="24"/>
          <w:szCs w:val="24"/>
        </w:rPr>
        <w:t>Fica d</w:t>
      </w:r>
      <w:r>
        <w:rPr>
          <w:rFonts w:ascii="Arial" w:hAnsi="Arial" w:cs="Arial"/>
          <w:sz w:val="24"/>
          <w:szCs w:val="24"/>
        </w:rPr>
        <w:t>emonstra</w:t>
      </w:r>
      <w:r w:rsidR="008126FA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que, apesar de ultrapassado o prazo estabelecido por esse r. órgão, não foi atendida a determinação emanada</w:t>
      </w:r>
      <w:r w:rsidR="00DB5BA9">
        <w:rPr>
          <w:rFonts w:ascii="Arial" w:hAnsi="Arial" w:cs="Arial"/>
          <w:sz w:val="24"/>
          <w:szCs w:val="24"/>
        </w:rPr>
        <w:t xml:space="preserve"> e, além do mais, não há sequer previsão para que tal ocorra</w:t>
      </w:r>
      <w:r>
        <w:rPr>
          <w:rFonts w:ascii="Arial" w:hAnsi="Arial" w:cs="Arial"/>
          <w:sz w:val="24"/>
          <w:szCs w:val="24"/>
        </w:rPr>
        <w:t>. Por isso, devem ser adotadas medidas de apoio para que seja garantida a efetivação</w:t>
      </w:r>
      <w:r w:rsidR="00ED7D7B">
        <w:rPr>
          <w:rFonts w:ascii="Arial" w:hAnsi="Arial" w:cs="Arial"/>
          <w:sz w:val="24"/>
          <w:szCs w:val="24"/>
        </w:rPr>
        <w:t xml:space="preserve"> da ordem proferida. </w:t>
      </w:r>
    </w:p>
    <w:p w:rsidR="0074205E" w:rsidRDefault="0074205E" w:rsidP="0074205E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Aliás, deve-se destacar que os procedimentos estão a tramitar em prazos absolutamente injustificados (um há quase dois anos e outro há quase um ano), sendo inadmissível que continue a ser desrespeitada a autoridade da decisão proferida por esse r. órgão julgador.</w:t>
      </w:r>
    </w:p>
    <w:p w:rsidR="002742CC" w:rsidRDefault="00FA0D9F" w:rsidP="00FA0D9F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 xml:space="preserve">O CPC, que tem aplicação subsidiária aos procedimentos administrativos, estabelece, no art. 139, IV, que incumbirá ao </w:t>
      </w:r>
      <w:r w:rsidRPr="00FA0D9F">
        <w:rPr>
          <w:rFonts w:ascii="Arial" w:hAnsi="Arial" w:cs="Arial"/>
          <w:sz w:val="24"/>
          <w:szCs w:val="24"/>
        </w:rPr>
        <w:t>“determinar todas as medidas indutivas, coercitivas, mandamentais ou sub-rogatórias necessárias para assegurar o cumprimento de ordem judicial</w:t>
      </w:r>
      <w:r>
        <w:rPr>
          <w:rFonts w:ascii="Arial" w:hAnsi="Arial" w:cs="Arial"/>
          <w:sz w:val="24"/>
          <w:szCs w:val="24"/>
        </w:rPr>
        <w:t xml:space="preserve"> [...]”.</w:t>
      </w:r>
    </w:p>
    <w:p w:rsidR="00293B4C" w:rsidRDefault="00FA0D9F" w:rsidP="002451CF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Ademais, </w:t>
      </w:r>
      <w:r w:rsidR="005639FC">
        <w:rPr>
          <w:rFonts w:ascii="Arial" w:hAnsi="Arial" w:cs="Arial"/>
          <w:sz w:val="24"/>
          <w:szCs w:val="24"/>
        </w:rPr>
        <w:t>se o entendimento desse r. órgão for diverso, a considerar o manifesto descumprimento da ordem antes emanada, que sejam</w:t>
      </w:r>
      <w:r>
        <w:rPr>
          <w:rFonts w:ascii="Arial" w:hAnsi="Arial" w:cs="Arial"/>
          <w:sz w:val="24"/>
          <w:szCs w:val="24"/>
        </w:rPr>
        <w:t>, de forma sub-rogatória,</w:t>
      </w:r>
      <w:r w:rsidR="005639FC">
        <w:rPr>
          <w:rFonts w:ascii="Arial" w:hAnsi="Arial" w:cs="Arial"/>
          <w:sz w:val="24"/>
          <w:szCs w:val="24"/>
        </w:rPr>
        <w:t xml:space="preserve"> avocados os procedimentos de remoção/promoção relativos aos editais 1/2017 e 77/2016</w:t>
      </w:r>
      <w:r w:rsidR="0074205E">
        <w:rPr>
          <w:rFonts w:ascii="Arial" w:hAnsi="Arial" w:cs="Arial"/>
          <w:sz w:val="24"/>
          <w:szCs w:val="24"/>
        </w:rPr>
        <w:t xml:space="preserve"> (conforme art. 103-B, § 4º, I e II, da CF)</w:t>
      </w:r>
      <w:r w:rsidR="008B1BA0">
        <w:rPr>
          <w:rFonts w:ascii="Arial" w:hAnsi="Arial" w:cs="Arial"/>
          <w:sz w:val="24"/>
          <w:szCs w:val="24"/>
        </w:rPr>
        <w:t xml:space="preserve">, a fim de que eles sejam processados perante esse e. CNJ.  </w:t>
      </w:r>
    </w:p>
    <w:p w:rsidR="002451CF" w:rsidRPr="00B54008" w:rsidRDefault="002451CF" w:rsidP="002451CF">
      <w:pPr>
        <w:pBdr>
          <w:bottom w:val="single" w:sz="4" w:space="1" w:color="auto"/>
        </w:pBdr>
        <w:spacing w:before="100" w:beforeAutospacing="1" w:after="100" w:afterAutospacing="1" w:line="360" w:lineRule="auto"/>
        <w:ind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REQUERIMENTOS</w:t>
      </w:r>
    </w:p>
    <w:p w:rsidR="002451CF" w:rsidRDefault="002451CF" w:rsidP="002451CF">
      <w:pPr>
        <w:spacing w:before="100" w:beforeAutospacing="1" w:after="100" w:afterAutospacing="1" w:line="360" w:lineRule="auto"/>
        <w:ind w:right="-2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Ante o exposto, requer que esse r. órgão plenário se digne de</w:t>
      </w:r>
      <w:r w:rsidR="00ED7D7B">
        <w:rPr>
          <w:rFonts w:ascii="Arial" w:hAnsi="Arial" w:cs="Arial"/>
          <w:sz w:val="24"/>
          <w:szCs w:val="24"/>
        </w:rPr>
        <w:t xml:space="preserve"> adotar as medidas de apoio necessárias para garantir a efetivação </w:t>
      </w:r>
      <w:proofErr w:type="gramStart"/>
      <w:r w:rsidR="00ED7D7B">
        <w:rPr>
          <w:rFonts w:ascii="Arial" w:hAnsi="Arial" w:cs="Arial"/>
          <w:sz w:val="24"/>
          <w:szCs w:val="24"/>
        </w:rPr>
        <w:t>do ordem emanada</w:t>
      </w:r>
      <w:proofErr w:type="gramEnd"/>
      <w:r w:rsidR="00ED7D7B">
        <w:rPr>
          <w:rFonts w:ascii="Arial" w:hAnsi="Arial" w:cs="Arial"/>
          <w:sz w:val="24"/>
          <w:szCs w:val="24"/>
        </w:rPr>
        <w:t xml:space="preserve"> anteriormente, a garantir, assim, a conclusão dos procedimentos de promoção/remoção relativos aos editais 1/2017 e 77/2016 lançados pelo Tribunal de Justiça do Estado da Paraíba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8B1BA0" w:rsidRDefault="008B1BA0" w:rsidP="008B1BA0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540BF">
        <w:rPr>
          <w:rFonts w:ascii="Arial" w:hAnsi="Arial" w:cs="Arial"/>
          <w:sz w:val="24"/>
          <w:szCs w:val="24"/>
        </w:rPr>
        <w:t>Caso</w:t>
      </w:r>
      <w:r>
        <w:rPr>
          <w:rFonts w:ascii="Arial" w:hAnsi="Arial" w:cs="Arial"/>
          <w:sz w:val="24"/>
          <w:szCs w:val="24"/>
        </w:rPr>
        <w:t xml:space="preserve"> o entendimento desse r. órgão </w:t>
      </w:r>
      <w:r w:rsidR="007540BF">
        <w:rPr>
          <w:rFonts w:ascii="Arial" w:hAnsi="Arial" w:cs="Arial"/>
          <w:sz w:val="24"/>
          <w:szCs w:val="24"/>
        </w:rPr>
        <w:t>seja</w:t>
      </w:r>
      <w:r>
        <w:rPr>
          <w:rFonts w:ascii="Arial" w:hAnsi="Arial" w:cs="Arial"/>
          <w:sz w:val="24"/>
          <w:szCs w:val="24"/>
        </w:rPr>
        <w:t xml:space="preserve"> diverso, a considerar o manifesto descumprimento da ordem antes </w:t>
      </w:r>
      <w:r w:rsidR="00A22FD0">
        <w:rPr>
          <w:rFonts w:ascii="Arial" w:hAnsi="Arial" w:cs="Arial"/>
          <w:sz w:val="24"/>
          <w:szCs w:val="24"/>
        </w:rPr>
        <w:t>proferi</w:t>
      </w:r>
      <w:r>
        <w:rPr>
          <w:rFonts w:ascii="Arial" w:hAnsi="Arial" w:cs="Arial"/>
          <w:sz w:val="24"/>
          <w:szCs w:val="24"/>
        </w:rPr>
        <w:t>da, que sejam avocados os procedimentos de remoção/promoção relativos aos editais 1/2017 e 77/2016, a fim de que sejam processados perante esse e. C</w:t>
      </w:r>
      <w:r w:rsidR="00A22FD0">
        <w:rPr>
          <w:rFonts w:ascii="Arial" w:hAnsi="Arial" w:cs="Arial"/>
          <w:sz w:val="24"/>
          <w:szCs w:val="24"/>
        </w:rPr>
        <w:t>onselho Nacional de Justiça</w:t>
      </w:r>
      <w:r>
        <w:rPr>
          <w:rFonts w:ascii="Arial" w:hAnsi="Arial" w:cs="Arial"/>
          <w:sz w:val="24"/>
          <w:szCs w:val="24"/>
        </w:rPr>
        <w:t xml:space="preserve">.       </w:t>
      </w:r>
      <w:bookmarkStart w:id="0" w:name="_GoBack"/>
      <w:bookmarkEnd w:id="0"/>
    </w:p>
    <w:p w:rsidR="002451CF" w:rsidRPr="00FA3A86" w:rsidRDefault="002451CF" w:rsidP="002451CF">
      <w:pPr>
        <w:spacing w:before="100" w:beforeAutospacing="1" w:after="100" w:afterAutospacing="1" w:line="360" w:lineRule="auto"/>
        <w:ind w:left="720" w:right="-285"/>
        <w:jc w:val="both"/>
        <w:rPr>
          <w:rFonts w:ascii="Arial" w:hAnsi="Arial" w:cs="Arial"/>
          <w:sz w:val="24"/>
          <w:szCs w:val="24"/>
        </w:rPr>
      </w:pPr>
      <w:r w:rsidRPr="00FA3A86">
        <w:rPr>
          <w:rFonts w:ascii="Arial" w:hAnsi="Arial" w:cs="Arial"/>
          <w:sz w:val="24"/>
          <w:szCs w:val="24"/>
        </w:rPr>
        <w:t>Pede deferimento</w:t>
      </w:r>
      <w:r>
        <w:rPr>
          <w:rFonts w:ascii="Arial" w:hAnsi="Arial" w:cs="Arial"/>
          <w:sz w:val="24"/>
          <w:szCs w:val="24"/>
        </w:rPr>
        <w:t>, pede deferimento.</w:t>
      </w:r>
    </w:p>
    <w:p w:rsidR="002451CF" w:rsidRDefault="002451CF" w:rsidP="002451CF">
      <w:pPr>
        <w:spacing w:before="100" w:beforeAutospacing="1" w:after="100" w:afterAutospacing="1" w:line="360" w:lineRule="auto"/>
        <w:ind w:right="-285" w:firstLine="708"/>
        <w:jc w:val="both"/>
        <w:rPr>
          <w:rFonts w:ascii="Arial" w:hAnsi="Arial" w:cs="Arial"/>
          <w:sz w:val="24"/>
          <w:szCs w:val="24"/>
        </w:rPr>
      </w:pPr>
      <w:r w:rsidRPr="00B54008">
        <w:rPr>
          <w:rFonts w:ascii="Arial" w:hAnsi="Arial" w:cs="Arial"/>
          <w:sz w:val="24"/>
          <w:szCs w:val="24"/>
        </w:rPr>
        <w:t xml:space="preserve">João Pessoa, </w:t>
      </w:r>
      <w:r w:rsidR="00ED7D7B">
        <w:rPr>
          <w:rFonts w:ascii="Arial" w:hAnsi="Arial" w:cs="Arial"/>
          <w:sz w:val="24"/>
          <w:szCs w:val="24"/>
        </w:rPr>
        <w:t>01</w:t>
      </w:r>
      <w:r w:rsidRPr="00B54008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</w:t>
      </w:r>
      <w:r w:rsidR="00ED7D7B">
        <w:rPr>
          <w:rFonts w:ascii="Arial" w:hAnsi="Arial" w:cs="Arial"/>
          <w:sz w:val="24"/>
          <w:szCs w:val="24"/>
        </w:rPr>
        <w:t>gosto</w:t>
      </w:r>
      <w:r w:rsidRPr="00B54008">
        <w:rPr>
          <w:rFonts w:ascii="Arial" w:hAnsi="Arial" w:cs="Arial"/>
          <w:sz w:val="24"/>
          <w:szCs w:val="24"/>
        </w:rPr>
        <w:t xml:space="preserve"> de 2018.</w:t>
      </w:r>
    </w:p>
    <w:p w:rsidR="002451CF" w:rsidRPr="007540BF" w:rsidRDefault="002451CF" w:rsidP="002451CF">
      <w:pPr>
        <w:spacing w:before="100" w:beforeAutospacing="1" w:after="100" w:afterAutospacing="1" w:line="360" w:lineRule="auto"/>
        <w:ind w:right="-285" w:firstLine="708"/>
        <w:jc w:val="both"/>
        <w:rPr>
          <w:rFonts w:ascii="Arial" w:hAnsi="Arial" w:cs="Arial"/>
          <w:sz w:val="18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27"/>
      </w:tblGrid>
      <w:tr w:rsidR="002451CF" w:rsidTr="007540BF">
        <w:trPr>
          <w:jc w:val="center"/>
        </w:trPr>
        <w:tc>
          <w:tcPr>
            <w:tcW w:w="4889" w:type="dxa"/>
          </w:tcPr>
          <w:p w:rsidR="002451CF" w:rsidRPr="00B54008" w:rsidRDefault="002451CF" w:rsidP="007540BF">
            <w:pPr>
              <w:spacing w:before="100" w:beforeAutospacing="1" w:after="100" w:afterAutospacing="1" w:line="360" w:lineRule="auto"/>
              <w:ind w:right="-28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4008">
              <w:rPr>
                <w:rFonts w:ascii="Arial" w:hAnsi="Arial" w:cs="Arial"/>
                <w:b/>
                <w:sz w:val="24"/>
                <w:szCs w:val="24"/>
              </w:rPr>
              <w:t>RINALDO MOUZALAS</w:t>
            </w:r>
          </w:p>
          <w:p w:rsidR="002451CF" w:rsidRDefault="002451CF" w:rsidP="007540BF">
            <w:pPr>
              <w:spacing w:before="100" w:beforeAutospacing="1" w:after="100" w:afterAutospacing="1" w:line="360" w:lineRule="auto"/>
              <w:ind w:right="-28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4D34">
              <w:rPr>
                <w:rFonts w:ascii="Arial" w:hAnsi="Arial" w:cs="Arial"/>
                <w:sz w:val="20"/>
                <w:szCs w:val="24"/>
              </w:rPr>
              <w:t>Advogado OAB/PB nº 11.589</w:t>
            </w:r>
          </w:p>
        </w:tc>
        <w:tc>
          <w:tcPr>
            <w:tcW w:w="4889" w:type="dxa"/>
          </w:tcPr>
          <w:p w:rsidR="002451CF" w:rsidRPr="00B54008" w:rsidRDefault="002451CF" w:rsidP="007540BF">
            <w:pPr>
              <w:spacing w:before="100" w:beforeAutospacing="1" w:after="100" w:afterAutospacing="1" w:line="360" w:lineRule="auto"/>
              <w:ind w:right="-285" w:firstLine="7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VALBERTO AZEVEDO</w:t>
            </w:r>
          </w:p>
          <w:p w:rsidR="002451CF" w:rsidRDefault="002451CF" w:rsidP="007540BF">
            <w:pPr>
              <w:spacing w:before="100" w:beforeAutospacing="1" w:after="100" w:afterAutospacing="1" w:line="360" w:lineRule="auto"/>
              <w:ind w:right="-285" w:firstLine="7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4D34">
              <w:rPr>
                <w:rFonts w:ascii="Arial" w:hAnsi="Arial" w:cs="Arial"/>
                <w:sz w:val="20"/>
                <w:szCs w:val="24"/>
              </w:rPr>
              <w:t>Advogado OAB/PB nº 11.477</w:t>
            </w:r>
          </w:p>
        </w:tc>
      </w:tr>
    </w:tbl>
    <w:p w:rsidR="002451CF" w:rsidRPr="008F4D34" w:rsidRDefault="002451CF" w:rsidP="002451CF">
      <w:pPr>
        <w:spacing w:before="100" w:beforeAutospacing="1" w:after="100" w:afterAutospacing="1" w:line="360" w:lineRule="auto"/>
        <w:ind w:right="-285" w:firstLine="708"/>
        <w:jc w:val="both"/>
        <w:rPr>
          <w:rFonts w:ascii="Arial" w:hAnsi="Arial" w:cs="Arial"/>
          <w:sz w:val="2"/>
          <w:szCs w:val="24"/>
        </w:rPr>
      </w:pPr>
    </w:p>
    <w:p w:rsidR="002451CF" w:rsidRPr="008F4D34" w:rsidRDefault="002451CF" w:rsidP="00C17C4A">
      <w:pPr>
        <w:spacing w:before="100" w:beforeAutospacing="1" w:after="100" w:afterAutospacing="1" w:line="360" w:lineRule="auto"/>
        <w:ind w:right="-285" w:firstLine="708"/>
        <w:jc w:val="both"/>
        <w:rPr>
          <w:rFonts w:ascii="Arial" w:hAnsi="Arial" w:cs="Arial"/>
          <w:sz w:val="2"/>
          <w:szCs w:val="24"/>
        </w:rPr>
      </w:pPr>
    </w:p>
    <w:sectPr w:rsidR="002451CF" w:rsidRPr="008F4D34" w:rsidSect="00F658D7">
      <w:headerReference w:type="default" r:id="rId9"/>
      <w:footerReference w:type="default" r:id="rId10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3766" w:rsidRDefault="00D23766" w:rsidP="00941E7C">
      <w:pPr>
        <w:spacing w:after="0" w:line="240" w:lineRule="auto"/>
      </w:pPr>
      <w:r>
        <w:separator/>
      </w:r>
    </w:p>
  </w:endnote>
  <w:endnote w:type="continuationSeparator" w:id="0">
    <w:p w:rsidR="00D23766" w:rsidRDefault="00D23766" w:rsidP="00941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9F" w:rsidRDefault="00A935AE">
    <w:pPr>
      <w:pStyle w:val="Rodap"/>
      <w:jc w:val="right"/>
    </w:pPr>
    <w:r>
      <w:fldChar w:fldCharType="begin"/>
    </w:r>
    <w:r w:rsidR="00FA0D9F">
      <w:instrText xml:space="preserve"> PAGE   \* MERGEFORMAT </w:instrText>
    </w:r>
    <w:r>
      <w:fldChar w:fldCharType="separate"/>
    </w:r>
    <w:r w:rsidR="002E725F">
      <w:rPr>
        <w:noProof/>
      </w:rPr>
      <w:t>1</w:t>
    </w:r>
    <w:r>
      <w:rPr>
        <w:noProof/>
      </w:rPr>
      <w:fldChar w:fldCharType="end"/>
    </w:r>
  </w:p>
  <w:p w:rsidR="00FA0D9F" w:rsidRDefault="00FA0D9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3766" w:rsidRDefault="00D23766" w:rsidP="00941E7C">
      <w:pPr>
        <w:spacing w:after="0" w:line="240" w:lineRule="auto"/>
      </w:pPr>
      <w:r>
        <w:separator/>
      </w:r>
    </w:p>
  </w:footnote>
  <w:footnote w:type="continuationSeparator" w:id="0">
    <w:p w:rsidR="00D23766" w:rsidRDefault="00D23766" w:rsidP="00941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9F" w:rsidRDefault="00FA0D9F" w:rsidP="003E1C65">
    <w:pPr>
      <w:pStyle w:val="Cabealho"/>
      <w:ind w:left="708" w:firstLine="4956"/>
    </w:pPr>
    <w:r>
      <w:object w:dxaOrig="9323" w:dyaOrig="3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8pt;height:47.25pt">
          <v:imagedata r:id="rId1" o:title=""/>
        </v:shape>
        <o:OLEObject Type="Embed" ProgID="CorelDRAW.Graphic.11" ShapeID="_x0000_i1025" DrawAspect="Content" ObjectID="_1594737261" r:id="rId2"/>
      </w:object>
    </w:r>
  </w:p>
  <w:p w:rsidR="00FA0D9F" w:rsidRPr="003E1C65" w:rsidRDefault="00FA0D9F" w:rsidP="003E1C65">
    <w:pPr>
      <w:pStyle w:val="Cabealho"/>
      <w:ind w:left="708" w:firstLine="4956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A4965"/>
    <w:multiLevelType w:val="hybridMultilevel"/>
    <w:tmpl w:val="B1CEB0D4"/>
    <w:lvl w:ilvl="0" w:tplc="7B6AFA4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931D3"/>
    <w:multiLevelType w:val="hybridMultilevel"/>
    <w:tmpl w:val="B1CEB0D4"/>
    <w:lvl w:ilvl="0" w:tplc="7B6AFA4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46E0B"/>
    <w:multiLevelType w:val="hybridMultilevel"/>
    <w:tmpl w:val="4D58B3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7C"/>
    <w:rsid w:val="00063AC7"/>
    <w:rsid w:val="000642C1"/>
    <w:rsid w:val="000D69DF"/>
    <w:rsid w:val="00111B8F"/>
    <w:rsid w:val="001136FA"/>
    <w:rsid w:val="00141162"/>
    <w:rsid w:val="00197F79"/>
    <w:rsid w:val="001E0C6C"/>
    <w:rsid w:val="00207355"/>
    <w:rsid w:val="002451CF"/>
    <w:rsid w:val="00261645"/>
    <w:rsid w:val="002742CC"/>
    <w:rsid w:val="00293B4C"/>
    <w:rsid w:val="002E725F"/>
    <w:rsid w:val="00317650"/>
    <w:rsid w:val="00356A64"/>
    <w:rsid w:val="003E1C65"/>
    <w:rsid w:val="00437719"/>
    <w:rsid w:val="004A1BF9"/>
    <w:rsid w:val="005170BE"/>
    <w:rsid w:val="00552925"/>
    <w:rsid w:val="005639FC"/>
    <w:rsid w:val="00595EEF"/>
    <w:rsid w:val="005C07F5"/>
    <w:rsid w:val="005C62BD"/>
    <w:rsid w:val="006360A4"/>
    <w:rsid w:val="00683F22"/>
    <w:rsid w:val="007200BF"/>
    <w:rsid w:val="0074205E"/>
    <w:rsid w:val="00745B71"/>
    <w:rsid w:val="007540BF"/>
    <w:rsid w:val="00772CAB"/>
    <w:rsid w:val="007B3209"/>
    <w:rsid w:val="007C4C0C"/>
    <w:rsid w:val="008126FA"/>
    <w:rsid w:val="00822918"/>
    <w:rsid w:val="00834CB9"/>
    <w:rsid w:val="008B1BA0"/>
    <w:rsid w:val="008E7AFC"/>
    <w:rsid w:val="008F4D34"/>
    <w:rsid w:val="00941E7C"/>
    <w:rsid w:val="009431F8"/>
    <w:rsid w:val="009A208E"/>
    <w:rsid w:val="009A5C33"/>
    <w:rsid w:val="009B4556"/>
    <w:rsid w:val="00A12005"/>
    <w:rsid w:val="00A22FD0"/>
    <w:rsid w:val="00A901F4"/>
    <w:rsid w:val="00A935AE"/>
    <w:rsid w:val="00B54008"/>
    <w:rsid w:val="00BB292A"/>
    <w:rsid w:val="00C02388"/>
    <w:rsid w:val="00C17C4A"/>
    <w:rsid w:val="00C21E66"/>
    <w:rsid w:val="00C34B46"/>
    <w:rsid w:val="00C43E8B"/>
    <w:rsid w:val="00C4567F"/>
    <w:rsid w:val="00CB383D"/>
    <w:rsid w:val="00CD4FE1"/>
    <w:rsid w:val="00D03AB8"/>
    <w:rsid w:val="00D23766"/>
    <w:rsid w:val="00D25171"/>
    <w:rsid w:val="00DB302B"/>
    <w:rsid w:val="00DB5BA9"/>
    <w:rsid w:val="00ED7D7B"/>
    <w:rsid w:val="00EE317B"/>
    <w:rsid w:val="00F658D7"/>
    <w:rsid w:val="00FA0D9F"/>
    <w:rsid w:val="00FA3A86"/>
    <w:rsid w:val="00FB3DC4"/>
    <w:rsid w:val="00FE7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3DFFD3-77A7-425C-AFCC-9B9FD8CE1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E7C"/>
    <w:pPr>
      <w:spacing w:after="200" w:line="276" w:lineRule="auto"/>
    </w:pPr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har"/>
    <w:uiPriority w:val="9"/>
    <w:qFormat/>
    <w:rsid w:val="00941E7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941E7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Rodap">
    <w:name w:val="footer"/>
    <w:basedOn w:val="Normal"/>
    <w:link w:val="RodapChar"/>
    <w:uiPriority w:val="99"/>
    <w:rsid w:val="00941E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941E7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41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1E7C"/>
    <w:rPr>
      <w:rFonts w:ascii="Calibri" w:eastAsia="Calibri" w:hAnsi="Calibri" w:cs="Times New Roman"/>
    </w:rPr>
  </w:style>
  <w:style w:type="character" w:styleId="Refdenotaderodap">
    <w:name w:val="footnote reference"/>
    <w:semiHidden/>
    <w:rsid w:val="00941E7C"/>
    <w:rPr>
      <w:rFonts w:cs="Times New Roman"/>
      <w:vertAlign w:val="superscript"/>
    </w:rPr>
  </w:style>
  <w:style w:type="paragraph" w:styleId="PargrafodaLista">
    <w:name w:val="List Paragraph"/>
    <w:basedOn w:val="Normal"/>
    <w:uiPriority w:val="34"/>
    <w:qFormat/>
    <w:rsid w:val="00683F22"/>
    <w:pPr>
      <w:ind w:left="720"/>
      <w:contextualSpacing/>
    </w:pPr>
  </w:style>
  <w:style w:type="table" w:styleId="Tabelacomgrade">
    <w:name w:val="Table Grid"/>
    <w:basedOn w:val="Tabelanormal"/>
    <w:uiPriority w:val="39"/>
    <w:rsid w:val="008F4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7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7D7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51D6C-C6C5-41AD-8055-9B660D1A2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Aparecida</dc:creator>
  <cp:lastModifiedBy>Rubens Nóbrega</cp:lastModifiedBy>
  <cp:revision>2</cp:revision>
  <dcterms:created xsi:type="dcterms:W3CDTF">2018-08-02T20:48:00Z</dcterms:created>
  <dcterms:modified xsi:type="dcterms:W3CDTF">2018-08-02T20:48:00Z</dcterms:modified>
</cp:coreProperties>
</file>